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14" w:rsidRDefault="00FE3014" w:rsidP="00FE3014">
      <w:pPr>
        <w:pStyle w:val="40"/>
        <w:shd w:val="clear" w:color="auto" w:fill="auto"/>
        <w:spacing w:after="0" w:line="240" w:lineRule="auto"/>
        <w:ind w:left="100" w:right="-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Программа государственных гарантий бесплатного оказания гражданам медицинской помощи на 202</w:t>
      </w:r>
      <w:r w:rsidR="00CD3DB0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 и на плановый период 202</w:t>
      </w:r>
      <w:r w:rsidR="00CD3DB0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и 202</w:t>
      </w:r>
      <w:r w:rsidR="00CD3DB0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годов на территории Воронежской области</w:t>
      </w:r>
    </w:p>
    <w:p w:rsidR="00FE3014" w:rsidRDefault="00FE3014" w:rsidP="00FE3014">
      <w:pPr>
        <w:pStyle w:val="2"/>
        <w:shd w:val="clear" w:color="auto" w:fill="auto"/>
        <w:tabs>
          <w:tab w:val="left" w:pos="867"/>
        </w:tabs>
        <w:spacing w:before="0" w:after="0" w:line="240" w:lineRule="auto"/>
        <w:ind w:right="560" w:firstLine="0"/>
        <w:jc w:val="center"/>
        <w:rPr>
          <w:color w:val="000000"/>
          <w:lang w:eastAsia="ru-RU" w:bidi="ru-RU"/>
        </w:rPr>
      </w:pPr>
    </w:p>
    <w:p w:rsidR="00FE3014" w:rsidRPr="00FE3014" w:rsidRDefault="00FE3014" w:rsidP="00FE3014">
      <w:pPr>
        <w:pStyle w:val="2"/>
        <w:shd w:val="clear" w:color="auto" w:fill="auto"/>
        <w:tabs>
          <w:tab w:val="left" w:pos="867"/>
        </w:tabs>
        <w:spacing w:before="0" w:after="0" w:line="240" w:lineRule="auto"/>
        <w:ind w:right="560" w:firstLine="0"/>
        <w:jc w:val="center"/>
        <w:rPr>
          <w:b/>
          <w:color w:val="000000"/>
          <w:lang w:eastAsia="ru-RU" w:bidi="ru-RU"/>
        </w:rPr>
      </w:pPr>
      <w:r w:rsidRPr="00FE3014">
        <w:rPr>
          <w:b/>
          <w:color w:val="000000"/>
          <w:lang w:eastAsia="ru-RU" w:bidi="ru-RU"/>
        </w:rPr>
        <w:t>Целевые значения критериев доступности и качества медицинской помощи, оказываемой в рамках Программы</w:t>
      </w:r>
    </w:p>
    <w:p w:rsidR="00FE3014" w:rsidRDefault="00FE3014" w:rsidP="004E0FEC">
      <w:pPr>
        <w:pStyle w:val="2"/>
        <w:shd w:val="clear" w:color="auto" w:fill="auto"/>
        <w:tabs>
          <w:tab w:val="left" w:pos="867"/>
        </w:tabs>
        <w:spacing w:before="0" w:after="0" w:line="240" w:lineRule="auto"/>
        <w:ind w:right="560" w:firstLine="0"/>
        <w:jc w:val="left"/>
      </w:pPr>
    </w:p>
    <w:p w:rsidR="00964436" w:rsidRDefault="00964436" w:rsidP="00964436">
      <w:pPr>
        <w:pStyle w:val="ConsPlusNormal"/>
        <w:ind w:firstLine="540"/>
        <w:jc w:val="both"/>
      </w:pPr>
      <w:r>
        <w:t>Целевыми значениями критериев доступности медицинской помощи в 2024 году являются: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удовлетворенность населения доступностью медицинской помощи (процентов от числа опрошенных) - 38,3, в том числе: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- городского населения - 36,9;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- сельского населения - 39,5;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Программу - 8,0%;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Программу - 1,8%;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ОМС, - 1,2%;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- 26%;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заболеваниями, - 72% - 2024 год, 74% - 2025 год, 75% - 2026 год;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наблюдения, - 70% - 2024 год, 70% - 2025 год, 70% - 2026 год;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 - 45%.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Целевыми значениями критериев качества медицинской помощи в 2024 году являются: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- 13%;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</w:t>
      </w:r>
      <w:r>
        <w:lastRenderedPageBreak/>
        <w:t>заболеваний в течение года у несовершеннолетних - не менее 8,5%;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- 11,4% - 2024 год, 11,5% - 2025 год, 11,6% - 2026 год;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осмотры, - 0,12% - 2024 год, 0,13% - 2025 год, 0,14% - 2026 год;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- 98,8% - 2024 год, 98,8% - 2025 год, 98,8% - 2026 год;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- 40,0%;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проведению, - 30,0%;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помощи, - 50,0%;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проведению, - 30%;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- 15,0%;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заболевания, - 15,0%;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центры, - 10,0%;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помощи, - 100% - 2024 год, 100% - 2025 год, 100% - 2026 год;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</w:t>
      </w:r>
      <w:r>
        <w:lastRenderedPageBreak/>
        <w:t>бесплодие" - 100%;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 - не менее 50 циклов;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- 27%;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 (на 1 тыс. населения), - не более 0,04;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количество случаев госпитализации с диагнозом "Бронхиальная астма" на 100 тыс. населения в год - 140;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количество случаев госпитализации с диагнозом "Хроническая обструктивная болезнь легких" на 100 тыс. населения в год - 80;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количество случаев госпитализации с диагнозом "Хроническая сердечная недостаточность" на 100 тыс. населения в год - 150;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количество случаев госпитализации с диагнозом "Гипертоническая болезнь" на 100 тыс. населения в год - 350;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количество случаев госпитализации с диагнозом "Сахарный диабет" на 100 тыс. населения в год - 350;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 - 17,28 - 2024 год, 17,8 - 2025 год, 18,3 - 2026 год;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- 80%.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Эффективность деятельности медицинских организаций (на основе оценки выполнения функции врачебной должности, показателей рационального и целевого использования коечного фонда) - 331,0 дня (в том числе эффективность деятельности медицинских организаций, расположенных в городской местности, - 333,0 дня, в сельской местности - 330,0 дня):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- коэффициент выполнения функции врачебной должности Кв = 95 - 100%;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- показатель рационального использования коечного фонда Kr = 0,9 - 1,0;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- коэффициент целевого использования коечного фонда Ks = 0,9 - 1,0;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- коэффициент экономической эффективности использования коечного фонда Кэ = 0,9 - 1,0;</w:t>
      </w:r>
    </w:p>
    <w:p w:rsidR="00964436" w:rsidRDefault="00964436" w:rsidP="00964436">
      <w:pPr>
        <w:pStyle w:val="ConsPlusNormal"/>
        <w:spacing w:before="200"/>
        <w:ind w:firstLine="540"/>
        <w:jc w:val="both"/>
      </w:pPr>
      <w:r>
        <w:t>- коэффициент финансовых затрат поликлиники (Кп) и стационара (Кс) считается эффективным, если деятельность поликлиники (Кп) и стационара (Кс) ниже коэффициента выполнения функции врачебной должности (Кв) и коэффициента экономической эффективности использования коечного фонда (Кэ).</w:t>
      </w:r>
    </w:p>
    <w:p w:rsidR="00964436" w:rsidRDefault="00964436" w:rsidP="004E0FEC">
      <w:pPr>
        <w:pStyle w:val="2"/>
        <w:shd w:val="clear" w:color="auto" w:fill="auto"/>
        <w:tabs>
          <w:tab w:val="left" w:pos="867"/>
        </w:tabs>
        <w:spacing w:before="0" w:after="0" w:line="240" w:lineRule="auto"/>
        <w:ind w:right="560" w:firstLine="0"/>
        <w:jc w:val="left"/>
      </w:pPr>
      <w:bookmarkStart w:id="0" w:name="_GoBack"/>
      <w:bookmarkEnd w:id="0"/>
    </w:p>
    <w:sectPr w:rsidR="0096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A641F5"/>
    <w:multiLevelType w:val="multilevel"/>
    <w:tmpl w:val="14929966"/>
    <w:lvl w:ilvl="0">
      <w:numFmt w:val="decimal"/>
      <w:lvlText w:val="2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46E51"/>
    <w:multiLevelType w:val="multilevel"/>
    <w:tmpl w:val="DB9CA940"/>
    <w:lvl w:ilvl="0">
      <w:start w:val="8"/>
      <w:numFmt w:val="decimal"/>
      <w:lvlText w:val="9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63BEE"/>
    <w:multiLevelType w:val="multilevel"/>
    <w:tmpl w:val="C0FC32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41DA4"/>
    <w:multiLevelType w:val="multilevel"/>
    <w:tmpl w:val="B7D4C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A378B"/>
    <w:multiLevelType w:val="multilevel"/>
    <w:tmpl w:val="0A76C4D8"/>
    <w:lvl w:ilvl="0">
      <w:numFmt w:val="decimal"/>
      <w:lvlText w:val="33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3617F7"/>
    <w:multiLevelType w:val="multilevel"/>
    <w:tmpl w:val="2D348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14"/>
    <w:rsid w:val="002C24D4"/>
    <w:rsid w:val="004E0FEC"/>
    <w:rsid w:val="0055554A"/>
    <w:rsid w:val="00964436"/>
    <w:rsid w:val="00AF340E"/>
    <w:rsid w:val="00CD3DB0"/>
    <w:rsid w:val="00D557C7"/>
    <w:rsid w:val="00E672A0"/>
    <w:rsid w:val="00EA3C31"/>
    <w:rsid w:val="00EA5397"/>
    <w:rsid w:val="00F1018A"/>
    <w:rsid w:val="00F46BBD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9934B"/>
  <w15:docId w15:val="{D2F6256C-2618-429E-B92B-D531F232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E30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3014"/>
    <w:pPr>
      <w:widowControl w:val="0"/>
      <w:shd w:val="clear" w:color="auto" w:fill="FFFFFF"/>
      <w:spacing w:after="48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"/>
    <w:rsid w:val="00FE30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ranklinGothicMediumCond12pt">
    <w:name w:val="Основной текст + Franklin Gothic Medium Cond;12 pt;Курсив"/>
    <w:basedOn w:val="a3"/>
    <w:rsid w:val="00FE3014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pt">
    <w:name w:val="Основной текст + Интервал 4 pt"/>
    <w:basedOn w:val="a3"/>
    <w:rsid w:val="00FE3014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FE30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pt0pt">
    <w:name w:val="Основной текст + 15 pt;Полужирный;Интервал 0 pt"/>
    <w:basedOn w:val="a3"/>
    <w:rsid w:val="00FE301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E30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1">
    <w:name w:val="Заголовок №1 (2) + Полужирный"/>
    <w:basedOn w:val="12"/>
    <w:rsid w:val="00FE30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FE3014"/>
    <w:pPr>
      <w:widowControl w:val="0"/>
      <w:shd w:val="clear" w:color="auto" w:fill="FFFFFF"/>
      <w:spacing w:before="300" w:after="60" w:line="0" w:lineRule="atLeas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FE3014"/>
    <w:pPr>
      <w:widowControl w:val="0"/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0pt75">
    <w:name w:val="Основной текст + Интервал 0 pt;Масштаб 75%"/>
    <w:basedOn w:val="a3"/>
    <w:rsid w:val="00E672A0"/>
    <w:rPr>
      <w:rFonts w:ascii="Times New Roman" w:eastAsia="Times New Roman" w:hAnsi="Times New Roman" w:cs="Times New Roman"/>
      <w:color w:val="000000"/>
      <w:spacing w:val="0"/>
      <w:w w:val="75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E672A0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TrebuchetMS8pt0pt">
    <w:name w:val="Основной текст + Trebuchet MS;8 pt;Курсив;Интервал 0 pt"/>
    <w:basedOn w:val="a3"/>
    <w:rsid w:val="00E672A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672A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TrebuchetMS10pt">
    <w:name w:val="Основной текст + Trebuchet MS;10 pt"/>
    <w:basedOn w:val="a3"/>
    <w:rsid w:val="00E672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3"/>
    <w:rsid w:val="00E67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3"/>
    <w:rsid w:val="00E6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80">
    <w:name w:val="Основной текст + Интервал 0 pt;Масштаб 80%"/>
    <w:basedOn w:val="a3"/>
    <w:rsid w:val="00E6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672A0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ConsPlusNormal">
    <w:name w:val="ConsPlusNormal"/>
    <w:rsid w:val="00EA3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MMTSRDILOZ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Chernitsyn</dc:creator>
  <cp:lastModifiedBy>User</cp:lastModifiedBy>
  <cp:revision>7</cp:revision>
  <dcterms:created xsi:type="dcterms:W3CDTF">2023-02-27T09:49:00Z</dcterms:created>
  <dcterms:modified xsi:type="dcterms:W3CDTF">2024-01-29T06:28:00Z</dcterms:modified>
</cp:coreProperties>
</file>